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EIXO TEMÁTICO (Informar qual)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Subtítulo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 1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z w:val="24"/>
          <w:szCs w:val="24"/>
          <w:rtl w:val="0"/>
        </w:rPr>
        <w:t xml:space="preserve">, Autor 2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sz w:val="24"/>
          <w:szCs w:val="24"/>
          <w:rtl w:val="0"/>
        </w:rPr>
        <w:t xml:space="preserve">, Autor 3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garantir a avaliação duplo-cega o nome dos autores deve ser informado somente após o aceite)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resumo deve ter entre 5 e 10 linhas, com espaço simples, sem parágrafo, fonte Arial, tamanho 10. O resumo deve informar a temática, o objetivo, a metodologia e os resultados parciais ou a conclusão.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PALAVRAS-CHAVE: Deve conter entre 3 e 5 palavras-chave.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abstract deve ser igual ao resumo e, portanto, conter entre 5 e 10 linhas, espaço simples, sem parágrafo, fonte Arial, tamanho 10. O resumo deve informar a temática, o objetivo, a metodologia e os resultados parciais ou a conclusão.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KEY-WORDS: As mesmas do resumo.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1) INTRODUÇÃO</w:t>
      </w:r>
    </w:p>
    <w:p w:rsidR="00000000" w:rsidDel="00000000" w:rsidP="00000000" w:rsidRDefault="00000000" w:rsidRPr="00000000" w14:paraId="00000017">
      <w:pPr>
        <w:spacing w:line="360" w:lineRule="auto"/>
        <w:ind w:left="283.46456692913387" w:firstLine="436.5354330708661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introdução deve ter espaçamento 1,5, com parágrafos, fonte Arial, tamanho 12. Deve informar o tema, a temática, a justificativa, a questão de pesquisa, os objetivos e a metodologia.</w:t>
      </w:r>
    </w:p>
    <w:p w:rsidR="00000000" w:rsidDel="00000000" w:rsidP="00000000" w:rsidRDefault="00000000" w:rsidRPr="00000000" w14:paraId="00000018">
      <w:pPr>
        <w:spacing w:line="360" w:lineRule="auto"/>
        <w:ind w:left="283.46456692913387" w:firstLine="436.5354330708661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2) METODOLOGIA</w:t>
      </w:r>
    </w:p>
    <w:p w:rsidR="00000000" w:rsidDel="00000000" w:rsidP="00000000" w:rsidRDefault="00000000" w:rsidRPr="00000000" w14:paraId="0000001A">
      <w:pPr>
        <w:spacing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opte por não colocar na introdução, detalhe os materiais, métodos e procedimentos metodológicos utilizados em sua pesquisa.</w:t>
      </w:r>
    </w:p>
    <w:p w:rsidR="00000000" w:rsidDel="00000000" w:rsidP="00000000" w:rsidRDefault="00000000" w:rsidRPr="00000000" w14:paraId="0000001B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3) DESENVOLVIMENTO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tópicos de desenvolvimento podem ser adaptados conforme o trabalho e a estratégia de exposição do autor, ou seja, conter dados e resutados teóricos e/ou práticos;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artigo pode apresentar de 1 a 3 tópicos de desenvolvimento;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 ter espaçamento 1,5, com parágrafos, fonte Arial, tamanho 12;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 citações diretas e indiretas devem seguir as normas da ABNT;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 figuras, gráficos e tabelas devem estar: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36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Dispostos ao longo do texto;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6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Enunciados no texto;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6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Conter título, legenda e fonte, conforme as normas da ABNT.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Exemplo: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Figura 1</w:t>
      </w:r>
      <w:r w:rsidDel="00000000" w:rsidR="00000000" w:rsidRPr="00000000">
        <w:rPr>
          <w:sz w:val="24"/>
          <w:szCs w:val="24"/>
          <w:rtl w:val="0"/>
        </w:rPr>
        <w:t xml:space="preserve"> - Mapa geológico da cidade de São Paulo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723444" cy="329226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3444" cy="3292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Fonte.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4) CONSIDERAÇÕES FINAIS OU CONCLUSÃO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 ter espaçamento 1,5, com parágrafos, fonte Arial, tamanho 12.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5) REFERÊNCIAS BIBLIOGRÁFICAS</w:t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 para livro:</w:t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SENNETT, R. </w:t>
      </w:r>
      <w:r w:rsidDel="00000000" w:rsidR="00000000" w:rsidRPr="00000000">
        <w:rPr>
          <w:b w:val="1"/>
          <w:sz w:val="24"/>
          <w:szCs w:val="24"/>
          <w:rtl w:val="0"/>
        </w:rPr>
        <w:t xml:space="preserve">A cultura do novo capitalismo</w:t>
      </w:r>
      <w:r w:rsidDel="00000000" w:rsidR="00000000" w:rsidRPr="00000000">
        <w:rPr>
          <w:sz w:val="24"/>
          <w:szCs w:val="24"/>
          <w:rtl w:val="0"/>
        </w:rPr>
        <w:t xml:space="preserve">. Rio de Janeiro: Record, 2008.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 para capítulo de livro: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FREIRE FILHO, J. Moda, estilo de vida e distinção social: quando o brega vira </w:t>
      </w:r>
      <w:r w:rsidDel="00000000" w:rsidR="00000000" w:rsidRPr="00000000">
        <w:rPr>
          <w:i w:val="1"/>
          <w:sz w:val="24"/>
          <w:szCs w:val="24"/>
          <w:rtl w:val="0"/>
        </w:rPr>
        <w:t xml:space="preserve">fashion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: VILLAÇA, N.; CASTILHO, K. (Orgs.). </w:t>
      </w:r>
      <w:r w:rsidDel="00000000" w:rsidR="00000000" w:rsidRPr="00000000">
        <w:rPr>
          <w:b w:val="1"/>
          <w:sz w:val="24"/>
          <w:szCs w:val="24"/>
          <w:rtl w:val="0"/>
        </w:rPr>
        <w:t xml:space="preserve">Plugados na moda</w:t>
      </w:r>
      <w:r w:rsidDel="00000000" w:rsidR="00000000" w:rsidRPr="00000000">
        <w:rPr>
          <w:sz w:val="24"/>
          <w:szCs w:val="24"/>
          <w:rtl w:val="0"/>
        </w:rPr>
        <w:t xml:space="preserve">. São Paulo: Anhembi Morumbi, 2006, pp. 31-41.</w:t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 para artigo publicado em periódico científico:</w:t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LEMOS, C. E. C; ASSIS, G. A pandemia da Covid-19, a exposição das desigualdades e o discurso da necropolítica neoliberal.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Ensaios de Geografia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v. 5, n. 9, p. 34-39, 29 maio 2020. Disponível em: &lt;</w:t>
      </w:r>
      <w:hyperlink r:id="rId8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https://doi.org/10.22409/eg.v5i9.42491</w:t>
        </w:r>
      </w:hyperlink>
      <w:r w:rsidDel="00000000" w:rsidR="00000000" w:rsidRPr="00000000">
        <w:rPr>
          <w:sz w:val="24"/>
          <w:szCs w:val="24"/>
          <w:rtl w:val="0"/>
        </w:rPr>
        <w:t xml:space="preserve">&gt;. Acesso em: 30 set 2020.</w:t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 para artigo publicado em anais de congresso científico:</w:t>
      </w:r>
    </w:p>
    <w:p w:rsidR="00000000" w:rsidDel="00000000" w:rsidP="00000000" w:rsidRDefault="00000000" w:rsidRPr="00000000" w14:paraId="0000003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CAMPANELLA, B. Cultura da divergência: hierarquia e disputa em uma comunidade de fãs. </w:t>
      </w:r>
      <w:r w:rsidDel="00000000" w:rsidR="00000000" w:rsidRPr="00000000">
        <w:rPr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XXI Encontro Anual da Compós</w:t>
      </w:r>
      <w:r w:rsidDel="00000000" w:rsidR="00000000" w:rsidRPr="00000000">
        <w:rPr>
          <w:sz w:val="24"/>
          <w:szCs w:val="24"/>
          <w:rtl w:val="0"/>
        </w:rPr>
        <w:t xml:space="preserve">, Juiz de Fora. Anais... Juiz de Fora: ComPós, 2012. p. 1 - 15. 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1440.0000000000002" w:top="1440.0000000000002" w:left="1440.0000000000002" w:right="1440.000000000000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Como citar este trabalho: SOBRENOME, Nome. Título: subtítulo. In: II Encontro Sul Mineiro de Geografia. Anais II Encontro Sul Mineiro de Geografia, Poços de Caldas, IFSULDEMINAS, 2025, p.X-XX.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3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Minicurrículo (Instituição, Formação, E-mail e se recebe bolsa de pesquisa).</w:t>
      </w:r>
    </w:p>
  </w:footnote>
  <w:footnote w:id="0"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Informar se o presente trabalho faz parte de uma pesquisa maior, como, por exemplo, Iniciação Científica, Trabalho de Conclusão de Curso, Dissertação, Tese, etc.</w:t>
      </w:r>
    </w:p>
  </w:footnote>
  <w:footnote w:id="2">
    <w:p w:rsidR="00000000" w:rsidDel="00000000" w:rsidP="00000000" w:rsidRDefault="00000000" w:rsidRPr="00000000" w14:paraId="0000004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Minicurrículo (Instituição, Formação, E-mail e se recebe bolsa de pesquisa).</w:t>
      </w:r>
    </w:p>
  </w:footnote>
  <w:footnote w:id="3"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Minicurrículo (Instituição, Formação, E-mail e se recebe bolsa de pesquisa).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ind w:left="-566.929133858267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445658" cy="17887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5658" cy="1788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https://doi.org/10.22409/eg.v5i9.42491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